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C" w:rsidRPr="00720604" w:rsidRDefault="00720604" w:rsidP="00720604">
      <w:pPr>
        <w:jc w:val="center"/>
        <w:rPr>
          <w:rFonts w:ascii="宋体" w:eastAsia="宋体" w:hAnsi="宋体" w:hint="eastAsia"/>
          <w:b/>
          <w:sz w:val="30"/>
          <w:szCs w:val="30"/>
        </w:rPr>
      </w:pPr>
      <w:r w:rsidRPr="00720604">
        <w:rPr>
          <w:rFonts w:ascii="宋体" w:eastAsia="宋体" w:hAnsi="宋体" w:hint="eastAsia"/>
          <w:b/>
          <w:sz w:val="30"/>
          <w:szCs w:val="30"/>
        </w:rPr>
        <w:t>2023年度</w:t>
      </w:r>
      <w:r w:rsidRPr="00720604">
        <w:rPr>
          <w:rFonts w:ascii="宋体" w:eastAsia="宋体" w:hAnsi="宋体"/>
          <w:b/>
          <w:sz w:val="30"/>
          <w:szCs w:val="30"/>
        </w:rPr>
        <w:t>国家科学技术进步奖申报项目</w:t>
      </w:r>
      <w:r w:rsidRPr="00720604">
        <w:rPr>
          <w:rFonts w:ascii="宋体" w:eastAsia="宋体" w:hAnsi="宋体" w:hint="eastAsia"/>
          <w:b/>
          <w:sz w:val="30"/>
          <w:szCs w:val="30"/>
        </w:rPr>
        <w:t>公示</w:t>
      </w:r>
      <w:r w:rsidRPr="00720604">
        <w:rPr>
          <w:rFonts w:ascii="宋体" w:eastAsia="宋体" w:hAnsi="宋体"/>
          <w:b/>
          <w:sz w:val="30"/>
          <w:szCs w:val="30"/>
        </w:rPr>
        <w:t>内容</w:t>
      </w:r>
    </w:p>
    <w:p w:rsidR="00720604" w:rsidRPr="00720604" w:rsidRDefault="00720604" w:rsidP="00720604">
      <w:pPr>
        <w:pStyle w:val="a7"/>
        <w:numPr>
          <w:ilvl w:val="0"/>
          <w:numId w:val="1"/>
        </w:numPr>
        <w:spacing w:beforeLines="50" w:before="156"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名称：</w:t>
      </w:r>
      <w:r w:rsidRPr="00D4675D">
        <w:rPr>
          <w:rFonts w:ascii="宋体" w:eastAsia="宋体" w:hAnsi="宋体" w:cs="Times New Roman"/>
          <w:bCs/>
          <w:sz w:val="24"/>
          <w:szCs w:val="24"/>
        </w:rPr>
        <w:t>大型风敏感结构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的抗风关键</w:t>
      </w:r>
      <w:r w:rsidRPr="00D4675D">
        <w:rPr>
          <w:rFonts w:ascii="宋体" w:eastAsia="宋体" w:hAnsi="宋体" w:cs="Times New Roman"/>
          <w:bCs/>
          <w:sz w:val="24"/>
          <w:szCs w:val="24"/>
        </w:rPr>
        <w:t>技术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及</w:t>
      </w:r>
      <w:r w:rsidRPr="00D4675D">
        <w:rPr>
          <w:rFonts w:ascii="宋体" w:eastAsia="宋体" w:hAnsi="宋体" w:cs="Times New Roman"/>
          <w:bCs/>
          <w:sz w:val="24"/>
          <w:szCs w:val="24"/>
        </w:rPr>
        <w:t>应用</w:t>
      </w:r>
    </w:p>
    <w:p w:rsidR="00720604" w:rsidRPr="00720604" w:rsidRDefault="00720604" w:rsidP="0072060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提名者</w:t>
      </w:r>
      <w:r>
        <w:rPr>
          <w:rFonts w:ascii="宋体" w:eastAsia="宋体" w:hAnsi="宋体" w:cs="Times New Roman"/>
          <w:bCs/>
          <w:sz w:val="24"/>
          <w:szCs w:val="24"/>
        </w:rPr>
        <w:t>：河北省</w:t>
      </w:r>
    </w:p>
    <w:p w:rsidR="00720604" w:rsidRPr="00720604" w:rsidRDefault="00C950ED" w:rsidP="00C950ED">
      <w:pPr>
        <w:pStyle w:val="a7"/>
        <w:numPr>
          <w:ilvl w:val="0"/>
          <w:numId w:val="1"/>
        </w:numPr>
        <w:spacing w:afterLines="50" w:after="156"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主要知识产权与标准规范等目录</w:t>
      </w:r>
    </w:p>
    <w:tbl>
      <w:tblPr>
        <w:tblStyle w:val="TableNormal"/>
        <w:tblW w:w="15153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95"/>
        <w:gridCol w:w="851"/>
        <w:gridCol w:w="1276"/>
        <w:gridCol w:w="1134"/>
        <w:gridCol w:w="1275"/>
        <w:gridCol w:w="2977"/>
        <w:gridCol w:w="2693"/>
        <w:gridCol w:w="1560"/>
      </w:tblGrid>
      <w:tr w:rsidR="00720604" w:rsidTr="00CA49A6">
        <w:trPr>
          <w:trHeight w:val="11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知识产权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(标准)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类别</w:t>
            </w:r>
          </w:p>
        </w:tc>
        <w:tc>
          <w:tcPr>
            <w:tcW w:w="2395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知识产权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(标准)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具体名称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国家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(地区)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授权号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(标准编号)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授权(标准发布)日期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证书编号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(标准批准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发布部门)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权利人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(标准起草单位)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发明人(标准起草人)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发明专利</w:t>
            </w:r>
          </w:p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(标准)有效状态</w:t>
            </w:r>
          </w:p>
        </w:tc>
      </w:tr>
      <w:tr w:rsidR="00720604" w:rsidTr="00CA49A6">
        <w:trPr>
          <w:trHeight w:val="896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不同高度雪通量及积雪密度测量装置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美国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US11828906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2023-11-28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US11828906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刘庆宽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李海飞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李飞强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何书勇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马文勇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刘小兵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贾娅娅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崔子晗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一种斜拉索气动阻力确定方法、装置及终端设备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ZL201811331512.0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2</w:t>
            </w:r>
            <w:r w:rsidRPr="00834EE0">
              <w:rPr>
                <w:spacing w:val="-3"/>
                <w:lang w:eastAsia="zh-CN"/>
              </w:rPr>
              <w:t>021-07-27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4</w:t>
            </w:r>
            <w:r w:rsidRPr="00834EE0">
              <w:rPr>
                <w:spacing w:val="-3"/>
                <w:lang w:eastAsia="zh-CN"/>
              </w:rPr>
              <w:t>578708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刘庆宽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王晓江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张磊杰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贾娅娅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马文勇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刘小兵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6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双螺旋线热挤聚乙烯半平行钢丝斜拉索及其参数确定方法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ZL201610844845.8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2</w:t>
            </w:r>
            <w:r w:rsidRPr="00834EE0">
              <w:rPr>
                <w:spacing w:val="-3"/>
                <w:lang w:eastAsia="zh-CN"/>
              </w:rPr>
              <w:t>018-08-14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3</w:t>
            </w:r>
            <w:r w:rsidRPr="00834EE0">
              <w:rPr>
                <w:spacing w:val="-3"/>
                <w:lang w:eastAsia="zh-CN"/>
              </w:rPr>
              <w:t>031182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hyperlink r:id="rId7">
              <w:r w:rsidRPr="00834EE0">
                <w:rPr>
                  <w:spacing w:val="-3"/>
                  <w:lang w:eastAsia="zh-CN"/>
                </w:rPr>
                <w:t>刘庆宽</w:t>
              </w:r>
            </w:hyperlink>
            <w:r w:rsidRPr="00834EE0">
              <w:rPr>
                <w:spacing w:val="-3"/>
                <w:lang w:eastAsia="zh-CN"/>
              </w:rPr>
              <w:t>；</w:t>
            </w:r>
            <w:hyperlink r:id="rId8">
              <w:r w:rsidRPr="00834EE0">
                <w:rPr>
                  <w:spacing w:val="-3"/>
                  <w:lang w:eastAsia="zh-CN"/>
                </w:rPr>
                <w:t>郑云飞</w:t>
              </w:r>
            </w:hyperlink>
            <w:r w:rsidRPr="00834EE0">
              <w:rPr>
                <w:spacing w:val="-3"/>
                <w:lang w:eastAsia="zh-CN"/>
              </w:rPr>
              <w:t>；</w:t>
            </w:r>
            <w:hyperlink r:id="rId9">
              <w:r w:rsidRPr="00834EE0">
                <w:rPr>
                  <w:spacing w:val="-3"/>
                  <w:lang w:eastAsia="zh-CN"/>
                </w:rPr>
                <w:t>梁新华</w:t>
              </w:r>
            </w:hyperlink>
            <w:r w:rsidRPr="00834EE0">
              <w:rPr>
                <w:spacing w:val="-3"/>
                <w:lang w:eastAsia="zh-CN"/>
              </w:rPr>
              <w:t>；</w:t>
            </w:r>
            <w:hyperlink r:id="rId10">
              <w:r w:rsidRPr="00834EE0">
                <w:rPr>
                  <w:spacing w:val="-3"/>
                  <w:lang w:eastAsia="zh-CN"/>
                </w:rPr>
                <w:t>孙一飞</w:t>
              </w:r>
            </w:hyperlink>
            <w:r w:rsidRPr="00834EE0">
              <w:rPr>
                <w:spacing w:val="-3"/>
                <w:lang w:eastAsia="zh-CN"/>
              </w:rPr>
              <w:t>；</w:t>
            </w:r>
            <w:hyperlink r:id="rId11">
              <w:r w:rsidRPr="00834EE0">
                <w:rPr>
                  <w:spacing w:val="-3"/>
                  <w:lang w:eastAsia="zh-CN"/>
                </w:rPr>
                <w:t>刘小兵</w:t>
              </w:r>
            </w:hyperlink>
            <w:r w:rsidRPr="00834EE0">
              <w:rPr>
                <w:spacing w:val="-3"/>
                <w:lang w:eastAsia="zh-CN"/>
              </w:rPr>
              <w:t>；</w:t>
            </w:r>
            <w:hyperlink r:id="rId12">
              <w:r w:rsidRPr="00834EE0">
                <w:rPr>
                  <w:spacing w:val="-3"/>
                  <w:lang w:eastAsia="zh-CN"/>
                </w:rPr>
                <w:t>马文勇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考虑雷诺数效应的斜拉索气动力的分析方法、系统及终端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ZL202310250863.3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2</w:t>
            </w:r>
            <w:r w:rsidRPr="00834EE0">
              <w:rPr>
                <w:spacing w:val="-3"/>
                <w:lang w:eastAsia="zh-CN"/>
              </w:rPr>
              <w:t>023-06-06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6</w:t>
            </w:r>
            <w:r w:rsidRPr="00834EE0">
              <w:rPr>
                <w:spacing w:val="-3"/>
                <w:lang w:eastAsia="zh-CN"/>
              </w:rPr>
              <w:t>034667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刘庆宽；韩原；张卓杰；郑云飞；孙一飞；韩鹏；邵林媛；褚泽凯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桥梁结构模态参数真假甄别方法</w:t>
            </w:r>
            <w:bookmarkStart w:id="0" w:name="_GoBack"/>
            <w:bookmarkEnd w:id="0"/>
            <w:r w:rsidRPr="00834EE0">
              <w:rPr>
                <w:spacing w:val="-3"/>
                <w:lang w:eastAsia="zh-CN"/>
              </w:rPr>
              <w:t>及终端设备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ZL201810103506.3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2</w:t>
            </w:r>
            <w:r w:rsidRPr="00834EE0">
              <w:rPr>
                <w:spacing w:val="-3"/>
                <w:lang w:eastAsia="zh-CN"/>
              </w:rPr>
              <w:t>020-07-07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3</w:t>
            </w:r>
            <w:r w:rsidRPr="00834EE0">
              <w:rPr>
                <w:spacing w:val="-3"/>
                <w:lang w:eastAsia="zh-CN"/>
              </w:rPr>
              <w:t>879363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刘杰；刘庆宽；张瑞云；张志国；王国安；吕鹏；张旺；董现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color w:val="000000" w:themeColor="text1"/>
                <w:spacing w:val="-3"/>
                <w:lang w:eastAsia="zh-CN"/>
              </w:rPr>
              <w:t>一种桥梁斜拉索抗风减振结构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color w:val="000000" w:themeColor="text1"/>
                <w:spacing w:val="-3"/>
                <w:lang w:eastAsia="zh-CN"/>
              </w:rPr>
              <w:t>ZL202111191740.4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2</w:t>
            </w:r>
            <w:r w:rsidRPr="00834EE0">
              <w:rPr>
                <w:color w:val="000000" w:themeColor="text1"/>
                <w:spacing w:val="-3"/>
                <w:lang w:eastAsia="zh-CN"/>
              </w:rPr>
              <w:t>022-06-17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5</w:t>
            </w:r>
            <w:r w:rsidRPr="00834EE0">
              <w:rPr>
                <w:spacing w:val="-3"/>
                <w:lang w:eastAsia="zh-CN"/>
              </w:rPr>
              <w:t>239843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720604">
            <w:pPr>
              <w:pStyle w:val="TableText"/>
              <w:ind w:left="121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color w:val="000000" w:themeColor="text1"/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rPr>
                <w:color w:val="000000" w:themeColor="text1"/>
                <w:spacing w:val="-3"/>
                <w:lang w:eastAsia="zh-CN"/>
              </w:rPr>
            </w:pPr>
            <w:r w:rsidRPr="00834EE0">
              <w:rPr>
                <w:color w:val="000000" w:themeColor="text1"/>
                <w:spacing w:val="-3"/>
                <w:lang w:eastAsia="zh-CN"/>
              </w:rPr>
              <w:t>胡波</w:t>
            </w: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；</w:t>
            </w:r>
            <w:r w:rsidRPr="00834EE0">
              <w:rPr>
                <w:color w:val="000000" w:themeColor="text1"/>
                <w:spacing w:val="-3"/>
                <w:lang w:eastAsia="zh-CN"/>
              </w:rPr>
              <w:t>刘庆宽</w:t>
            </w: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；</w:t>
            </w:r>
            <w:r w:rsidRPr="00834EE0">
              <w:rPr>
                <w:color w:val="000000" w:themeColor="text1"/>
                <w:spacing w:val="-3"/>
                <w:lang w:eastAsia="zh-CN"/>
              </w:rPr>
              <w:t>马超</w:t>
            </w: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；</w:t>
            </w:r>
            <w:r w:rsidRPr="00834EE0">
              <w:rPr>
                <w:color w:val="000000" w:themeColor="text1"/>
                <w:spacing w:val="-3"/>
                <w:lang w:eastAsia="zh-CN"/>
              </w:rPr>
              <w:t>付赛飞</w:t>
            </w: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；</w:t>
            </w:r>
            <w:r w:rsidRPr="00834EE0">
              <w:rPr>
                <w:color w:val="000000" w:themeColor="text1"/>
                <w:spacing w:val="-3"/>
                <w:lang w:eastAsia="zh-CN"/>
              </w:rPr>
              <w:t xml:space="preserve"> 韩鹏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jc w:val="center"/>
              <w:rPr>
                <w:color w:val="000000" w:themeColor="text1"/>
                <w:spacing w:val="-3"/>
                <w:lang w:eastAsia="zh-CN"/>
              </w:rPr>
            </w:pPr>
            <w:r w:rsidRPr="00720604">
              <w:rPr>
                <w:rFonts w:hint="eastAsia"/>
                <w:spacing w:val="-3"/>
                <w:lang w:eastAsia="zh-CN"/>
              </w:rPr>
              <w:t>有效</w:t>
            </w:r>
            <w:r w:rsidRPr="00834EE0">
              <w:rPr>
                <w:rFonts w:hint="eastAsia"/>
                <w:color w:val="000000" w:themeColor="text1"/>
                <w:spacing w:val="-3"/>
                <w:lang w:eastAsia="zh-CN"/>
              </w:rPr>
              <w:t>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lastRenderedPageBreak/>
              <w:t>已授权发明专利</w:t>
            </w:r>
          </w:p>
        </w:tc>
        <w:tc>
          <w:tcPr>
            <w:tcW w:w="2395" w:type="dxa"/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二维方柱风洞试验端部效应抑制方法及装置</w:t>
            </w:r>
          </w:p>
        </w:tc>
        <w:tc>
          <w:tcPr>
            <w:tcW w:w="851" w:type="dxa"/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834EE0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ZL201710414576.6</w:t>
            </w:r>
          </w:p>
        </w:tc>
        <w:tc>
          <w:tcPr>
            <w:tcW w:w="1134" w:type="dxa"/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ind w:left="121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2</w:t>
            </w:r>
            <w:r w:rsidRPr="00834EE0">
              <w:rPr>
                <w:spacing w:val="-3"/>
                <w:lang w:eastAsia="zh-CN"/>
              </w:rPr>
              <w:t>018-11-09</w:t>
            </w:r>
          </w:p>
        </w:tc>
        <w:tc>
          <w:tcPr>
            <w:tcW w:w="1275" w:type="dxa"/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3</w:t>
            </w:r>
            <w:r w:rsidRPr="00834EE0">
              <w:rPr>
                <w:spacing w:val="-3"/>
                <w:lang w:eastAsia="zh-CN"/>
              </w:rPr>
              <w:t>140575</w:t>
            </w:r>
          </w:p>
        </w:tc>
        <w:tc>
          <w:tcPr>
            <w:tcW w:w="2977" w:type="dxa"/>
            <w:vAlign w:val="center"/>
          </w:tcPr>
          <w:p w:rsidR="00720604" w:rsidRPr="00834EE0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834EE0" w:rsidRDefault="00720604" w:rsidP="00720604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834EE0">
              <w:rPr>
                <w:spacing w:val="-3"/>
                <w:lang w:eastAsia="zh-CN"/>
              </w:rPr>
              <w:t>郑云飞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肖彬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刘庆宽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梁新华</w:t>
            </w:r>
            <w:r w:rsidRPr="00834EE0">
              <w:rPr>
                <w:rFonts w:hint="eastAsia"/>
                <w:spacing w:val="-3"/>
                <w:lang w:eastAsia="zh-CN"/>
              </w:rPr>
              <w:t>；</w:t>
            </w:r>
            <w:r w:rsidRPr="00834EE0">
              <w:rPr>
                <w:spacing w:val="-3"/>
                <w:lang w:eastAsia="zh-CN"/>
              </w:rPr>
              <w:t>孙一飞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834EE0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834EE0">
              <w:rPr>
                <w:rFonts w:hint="eastAsia"/>
                <w:spacing w:val="-3"/>
                <w:lang w:eastAsia="zh-CN"/>
              </w:rPr>
              <w:t>有效专利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已颁布行业标准</w:t>
            </w:r>
          </w:p>
        </w:tc>
        <w:tc>
          <w:tcPr>
            <w:tcW w:w="239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屋面结构雪荷载设计标准</w:t>
            </w:r>
          </w:p>
        </w:tc>
        <w:tc>
          <w:tcPr>
            <w:tcW w:w="851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spacing w:val="-3"/>
                <w:lang w:eastAsia="zh-CN"/>
              </w:rPr>
              <w:t>T/CECS 796-2020</w:t>
            </w:r>
          </w:p>
        </w:tc>
        <w:tc>
          <w:tcPr>
            <w:tcW w:w="1134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ind w:left="121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2</w:t>
            </w:r>
            <w:r w:rsidRPr="00D273FC">
              <w:rPr>
                <w:spacing w:val="-3"/>
                <w:lang w:eastAsia="zh-CN"/>
              </w:rPr>
              <w:t>021-01-05</w:t>
            </w:r>
          </w:p>
        </w:tc>
        <w:tc>
          <w:tcPr>
            <w:tcW w:w="127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中国工程建设标准化协会</w:t>
            </w:r>
          </w:p>
        </w:tc>
        <w:tc>
          <w:tcPr>
            <w:tcW w:w="2977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建研科技股份有限公司；同济大学；哈尔滨工业大学；石家庄铁道大学；中国航空规划设计研究总院有限公司；西南交通大学；中国建筑科学研究院有限公司；安邸建筑环境工程咨询（上海）有限公司；住房和城乡建设部防灾研究中心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>
              <w:rPr>
                <w:spacing w:val="-3"/>
                <w:lang w:eastAsia="zh-CN"/>
              </w:rPr>
              <w:t>湖南大学；中国建筑东北设计研究院有限公司；中国建筑设计研究院有限公司；北京市建筑设计研究院有限公司；浙江东南网架股份有限公司；华电重工股份有限公司</w:t>
            </w:r>
          </w:p>
        </w:tc>
        <w:tc>
          <w:tcPr>
            <w:tcW w:w="2693" w:type="dxa"/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陈凯；李宏海；周晅毅；范峰；刘庆宽；赵伯友；李明水；唐意；杜向东；何连华；李寿英；张大伟；史杰；秦凯；何挺；刘学武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其他有效的知识产权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已颁布行业标准</w:t>
            </w:r>
          </w:p>
        </w:tc>
        <w:tc>
          <w:tcPr>
            <w:tcW w:w="239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建筑工程风洞试验方法标准</w:t>
            </w:r>
          </w:p>
        </w:tc>
        <w:tc>
          <w:tcPr>
            <w:tcW w:w="851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JGJ</w:t>
            </w:r>
            <w:r>
              <w:rPr>
                <w:spacing w:val="-3"/>
                <w:lang w:eastAsia="zh-CN"/>
              </w:rPr>
              <w:t>/</w:t>
            </w:r>
            <w:r>
              <w:rPr>
                <w:rFonts w:hint="eastAsia"/>
                <w:spacing w:val="-3"/>
                <w:lang w:eastAsia="zh-CN"/>
              </w:rPr>
              <w:t>T</w:t>
            </w:r>
            <w:r>
              <w:rPr>
                <w:spacing w:val="-3"/>
                <w:lang w:eastAsia="zh-CN"/>
              </w:rPr>
              <w:t xml:space="preserve"> 338-2014</w:t>
            </w:r>
          </w:p>
        </w:tc>
        <w:tc>
          <w:tcPr>
            <w:tcW w:w="1134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ind w:left="121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2</w:t>
            </w:r>
            <w:r>
              <w:rPr>
                <w:spacing w:val="-3"/>
                <w:lang w:eastAsia="zh-CN"/>
              </w:rPr>
              <w:t>014-12-17</w:t>
            </w:r>
          </w:p>
        </w:tc>
        <w:tc>
          <w:tcPr>
            <w:tcW w:w="127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中华人民共和国住房和城乡建设部</w:t>
            </w:r>
          </w:p>
        </w:tc>
        <w:tc>
          <w:tcPr>
            <w:tcW w:w="2977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F7176C">
              <w:rPr>
                <w:rFonts w:hint="eastAsia"/>
                <w:spacing w:val="-3"/>
                <w:lang w:eastAsia="zh-CN"/>
              </w:rPr>
              <w:t>中国建筑科学研究院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广东省建筑科学研究院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同济大学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湖南大学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西南交通大学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浙江大学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长安大学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哈尔滨工业大学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华南理工大学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北京交通大学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中国空气动力研究与发展中心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建研科技股份有限公司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7176C">
              <w:rPr>
                <w:rFonts w:hint="eastAsia"/>
                <w:spacing w:val="-3"/>
                <w:lang w:eastAsia="zh-CN"/>
              </w:rPr>
              <w:t>绵阳六维科技有限责任公司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河南省建筑科学研究院</w:t>
            </w:r>
          </w:p>
        </w:tc>
        <w:tc>
          <w:tcPr>
            <w:tcW w:w="2693" w:type="dxa"/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FB34F8">
              <w:rPr>
                <w:rFonts w:hint="eastAsia"/>
                <w:spacing w:val="-3"/>
                <w:lang w:eastAsia="zh-CN"/>
              </w:rPr>
              <w:t>金新阳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陈凯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金海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李庆祥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曹曙阳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全涌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李寿英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李明水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楼文娟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刘健新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孙瑛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谢壮宁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陈波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黄汉杰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唐意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杨易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陈淳</w:t>
            </w:r>
            <w:r>
              <w:rPr>
                <w:rFonts w:hint="eastAsia"/>
                <w:spacing w:val="-3"/>
                <w:lang w:eastAsia="zh-CN"/>
              </w:rPr>
              <w:t>；</w:t>
            </w:r>
            <w:r w:rsidRPr="00FB34F8">
              <w:rPr>
                <w:rFonts w:hint="eastAsia"/>
                <w:spacing w:val="-3"/>
                <w:lang w:eastAsia="zh-CN"/>
              </w:rPr>
              <w:t>杨彦芳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其他有效的知识产权</w:t>
            </w:r>
          </w:p>
        </w:tc>
      </w:tr>
      <w:tr w:rsidR="00720604" w:rsidTr="00CA49A6">
        <w:trPr>
          <w:trHeight w:val="897"/>
        </w:trPr>
        <w:tc>
          <w:tcPr>
            <w:tcW w:w="992" w:type="dxa"/>
            <w:tcBorders>
              <w:left w:val="single" w:sz="6" w:space="0" w:color="000000"/>
            </w:tcBorders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已出版专著</w:t>
            </w:r>
          </w:p>
        </w:tc>
        <w:tc>
          <w:tcPr>
            <w:tcW w:w="239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大跨度桥梁索杆风荷载计算</w:t>
            </w:r>
          </w:p>
        </w:tc>
        <w:tc>
          <w:tcPr>
            <w:tcW w:w="851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中国</w:t>
            </w:r>
          </w:p>
        </w:tc>
        <w:tc>
          <w:tcPr>
            <w:tcW w:w="1276" w:type="dxa"/>
            <w:vAlign w:val="center"/>
          </w:tcPr>
          <w:p w:rsidR="00720604" w:rsidRPr="00D273FC" w:rsidRDefault="00720604" w:rsidP="00720604">
            <w:pPr>
              <w:pStyle w:val="TableText"/>
              <w:spacing w:line="221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spacing w:val="-3"/>
                <w:lang w:eastAsia="zh-CN"/>
              </w:rPr>
              <w:t>ISBN</w:t>
            </w:r>
            <w:r w:rsidRPr="00D273FC">
              <w:rPr>
                <w:rFonts w:hint="eastAsia"/>
                <w:spacing w:val="-3"/>
                <w:lang w:eastAsia="zh-CN"/>
              </w:rPr>
              <w:t>：</w:t>
            </w:r>
            <w:r w:rsidRPr="00D273FC">
              <w:rPr>
                <w:spacing w:val="-3"/>
                <w:lang w:eastAsia="zh-CN"/>
              </w:rPr>
              <w:t>978-7-114-17091-1</w:t>
            </w:r>
          </w:p>
        </w:tc>
        <w:tc>
          <w:tcPr>
            <w:tcW w:w="1134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ind w:left="121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2</w:t>
            </w:r>
            <w:r w:rsidRPr="00D273FC">
              <w:rPr>
                <w:spacing w:val="-3"/>
                <w:lang w:eastAsia="zh-CN"/>
              </w:rPr>
              <w:t>021-02-01</w:t>
            </w:r>
          </w:p>
        </w:tc>
        <w:tc>
          <w:tcPr>
            <w:tcW w:w="1275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人民交通出版社股份有限公司</w:t>
            </w:r>
          </w:p>
        </w:tc>
        <w:tc>
          <w:tcPr>
            <w:tcW w:w="2977" w:type="dxa"/>
            <w:vAlign w:val="center"/>
          </w:tcPr>
          <w:p w:rsidR="00720604" w:rsidRPr="00D273FC" w:rsidRDefault="00720604" w:rsidP="00CA49A6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石家庄铁道大学</w:t>
            </w:r>
          </w:p>
        </w:tc>
        <w:tc>
          <w:tcPr>
            <w:tcW w:w="2693" w:type="dxa"/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刘庆宽；张卓杰；郑云飞；孙一飞；贾娅娅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720604" w:rsidRPr="00D273FC" w:rsidRDefault="00720604" w:rsidP="00720604">
            <w:pPr>
              <w:pStyle w:val="TableText"/>
              <w:spacing w:before="138" w:line="220" w:lineRule="auto"/>
              <w:jc w:val="center"/>
              <w:rPr>
                <w:spacing w:val="-3"/>
                <w:lang w:eastAsia="zh-CN"/>
              </w:rPr>
            </w:pPr>
            <w:r w:rsidRPr="00D273FC">
              <w:rPr>
                <w:rFonts w:hint="eastAsia"/>
                <w:spacing w:val="-3"/>
                <w:lang w:eastAsia="zh-CN"/>
              </w:rPr>
              <w:t>其他有效的知识产权</w:t>
            </w:r>
          </w:p>
        </w:tc>
      </w:tr>
    </w:tbl>
    <w:p w:rsidR="00720604" w:rsidRPr="00C950ED" w:rsidRDefault="00720604" w:rsidP="00C950ED">
      <w:pPr>
        <w:pStyle w:val="a7"/>
        <w:numPr>
          <w:ilvl w:val="0"/>
          <w:numId w:val="1"/>
        </w:numPr>
        <w:spacing w:beforeLines="100" w:before="312" w:line="360" w:lineRule="auto"/>
        <w:ind w:left="357" w:firstLineChars="0" w:hanging="357"/>
        <w:rPr>
          <w:rFonts w:ascii="宋体" w:eastAsia="宋体" w:hAnsi="宋体" w:cs="Times New Roman"/>
          <w:bCs/>
          <w:sz w:val="24"/>
          <w:szCs w:val="24"/>
        </w:rPr>
      </w:pPr>
      <w:r w:rsidRPr="00C950ED">
        <w:rPr>
          <w:rFonts w:ascii="宋体" w:eastAsia="宋体" w:hAnsi="宋体" w:cs="Times New Roman" w:hint="eastAsia"/>
          <w:bCs/>
          <w:sz w:val="24"/>
          <w:szCs w:val="24"/>
        </w:rPr>
        <w:t>主要</w:t>
      </w:r>
      <w:r w:rsidRPr="00C950ED">
        <w:rPr>
          <w:rFonts w:ascii="宋体" w:eastAsia="宋体" w:hAnsi="宋体" w:cs="Times New Roman"/>
          <w:bCs/>
          <w:sz w:val="24"/>
          <w:szCs w:val="24"/>
        </w:rPr>
        <w:t>完成人：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刘庆宽，刘小兵，陈凯，李明水，马文勇，张同亿，刘培祥，赵军，周晅毅，贾娅娅</w:t>
      </w:r>
    </w:p>
    <w:p w:rsidR="00720604" w:rsidRPr="00C950ED" w:rsidRDefault="00720604" w:rsidP="00C950E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 w:hint="eastAsia"/>
          <w:bCs/>
          <w:sz w:val="24"/>
          <w:szCs w:val="24"/>
        </w:rPr>
      </w:pPr>
      <w:r w:rsidRPr="00D4675D">
        <w:rPr>
          <w:rFonts w:ascii="宋体" w:eastAsia="宋体" w:hAnsi="宋体" w:cs="Times New Roman" w:hint="eastAsia"/>
          <w:bCs/>
          <w:sz w:val="24"/>
          <w:szCs w:val="24"/>
        </w:rPr>
        <w:t>主要完成单位：石家庄</w:t>
      </w:r>
      <w:r w:rsidRPr="00D4675D">
        <w:rPr>
          <w:rFonts w:ascii="宋体" w:eastAsia="宋体" w:hAnsi="宋体" w:cs="Times New Roman"/>
          <w:bCs/>
          <w:sz w:val="24"/>
          <w:szCs w:val="24"/>
        </w:rPr>
        <w:t>铁道大学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，中国</w:t>
      </w:r>
      <w:r w:rsidRPr="00D4675D">
        <w:rPr>
          <w:rFonts w:ascii="宋体" w:eastAsia="宋体" w:hAnsi="宋体" w:cs="Times New Roman"/>
          <w:bCs/>
          <w:sz w:val="24"/>
          <w:szCs w:val="24"/>
        </w:rPr>
        <w:t>建筑科学研究院有限公司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，西南交通</w:t>
      </w:r>
      <w:r w:rsidRPr="00D4675D">
        <w:rPr>
          <w:rFonts w:ascii="宋体" w:eastAsia="宋体" w:hAnsi="宋体" w:cs="Times New Roman"/>
          <w:bCs/>
          <w:sz w:val="24"/>
          <w:szCs w:val="24"/>
        </w:rPr>
        <w:t>大学，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中国</w:t>
      </w:r>
      <w:r w:rsidRPr="00D4675D">
        <w:rPr>
          <w:rFonts w:ascii="宋体" w:eastAsia="宋体" w:hAnsi="宋体" w:cs="Times New Roman"/>
          <w:bCs/>
          <w:sz w:val="24"/>
          <w:szCs w:val="24"/>
        </w:rPr>
        <w:t>中元国际工程有限公司，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清华</w:t>
      </w:r>
      <w:r w:rsidRPr="00D4675D">
        <w:rPr>
          <w:rFonts w:ascii="宋体" w:eastAsia="宋体" w:hAnsi="宋体" w:cs="Times New Roman"/>
          <w:bCs/>
          <w:sz w:val="24"/>
          <w:szCs w:val="24"/>
        </w:rPr>
        <w:t>大学建筑设计研究院有限公司，</w:t>
      </w:r>
      <w:r w:rsidRPr="00D4675D">
        <w:rPr>
          <w:rFonts w:ascii="宋体" w:eastAsia="宋体" w:hAnsi="宋体" w:cs="Times New Roman" w:hint="eastAsia"/>
          <w:bCs/>
          <w:sz w:val="24"/>
          <w:szCs w:val="24"/>
        </w:rPr>
        <w:t>江苏法尔胜缆索有限公司，</w:t>
      </w:r>
      <w:r w:rsidRPr="00D4675D">
        <w:rPr>
          <w:rFonts w:ascii="宋体" w:eastAsia="宋体" w:hAnsi="宋体" w:cs="Times New Roman"/>
          <w:bCs/>
          <w:sz w:val="24"/>
          <w:szCs w:val="24"/>
        </w:rPr>
        <w:t>同济大学</w:t>
      </w:r>
    </w:p>
    <w:sectPr w:rsidR="00720604" w:rsidRPr="00C950ED" w:rsidSect="0072060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6E" w:rsidRDefault="0070716E" w:rsidP="00720604">
      <w:r>
        <w:separator/>
      </w:r>
    </w:p>
  </w:endnote>
  <w:endnote w:type="continuationSeparator" w:id="0">
    <w:p w:rsidR="0070716E" w:rsidRDefault="0070716E" w:rsidP="0072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6E" w:rsidRDefault="0070716E" w:rsidP="00720604">
      <w:r>
        <w:separator/>
      </w:r>
    </w:p>
  </w:footnote>
  <w:footnote w:type="continuationSeparator" w:id="0">
    <w:p w:rsidR="0070716E" w:rsidRDefault="0070716E" w:rsidP="0072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33C"/>
    <w:multiLevelType w:val="hybridMultilevel"/>
    <w:tmpl w:val="7CD0D150"/>
    <w:lvl w:ilvl="0" w:tplc="94A02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F"/>
    <w:rsid w:val="005868BF"/>
    <w:rsid w:val="006B17CC"/>
    <w:rsid w:val="006D36C3"/>
    <w:rsid w:val="0070716E"/>
    <w:rsid w:val="00720604"/>
    <w:rsid w:val="00C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0B4FD"/>
  <w15:chartTrackingRefBased/>
  <w15:docId w15:val="{66967B67-58CE-413F-9968-D36339D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604"/>
    <w:rPr>
      <w:sz w:val="18"/>
      <w:szCs w:val="18"/>
    </w:rPr>
  </w:style>
  <w:style w:type="paragraph" w:styleId="a7">
    <w:name w:val="List Paragraph"/>
    <w:basedOn w:val="a"/>
    <w:uiPriority w:val="34"/>
    <w:qFormat/>
    <w:rsid w:val="00720604"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72060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720604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.25.194.105/IPEasy/Forms/Patent/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0.25.194.105/IPEasy/Forms/Patent/void(0)" TargetMode="External"/><Relationship Id="rId12" Type="http://schemas.openxmlformats.org/officeDocument/2006/relationships/hyperlink" Target="http://120.25.194.105/IPEasy/Forms/Patent/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20.25.194.105/IPEasy/Forms/Patent/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20.25.194.105/IPEasy/Forms/Patent/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0.25.194.105/IPEasy/Forms/Patent/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2023-12-29T02:26:00Z</dcterms:created>
  <dcterms:modified xsi:type="dcterms:W3CDTF">2023-12-29T02:40:00Z</dcterms:modified>
</cp:coreProperties>
</file>